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3F71F4">
        <w:rPr>
          <w:b/>
          <w:i w:val="0"/>
          <w:sz w:val="32"/>
          <w:vertAlign w:val="baseline"/>
        </w:rPr>
        <w:t>0</w:t>
      </w:r>
      <w:r w:rsidR="00721EE1" w:rsidRPr="004A5FAA">
        <w:rPr>
          <w:b/>
          <w:i w:val="0"/>
          <w:sz w:val="32"/>
          <w:vertAlign w:val="baseline"/>
        </w:rPr>
        <w:t>8</w:t>
      </w:r>
      <w:r w:rsidR="00D35A77" w:rsidRPr="00D35A77">
        <w:rPr>
          <w:b/>
          <w:i w:val="0"/>
          <w:sz w:val="32"/>
          <w:vertAlign w:val="baseline"/>
        </w:rPr>
        <w:t xml:space="preserve"> </w:t>
      </w:r>
      <w:r w:rsidR="003F71F4">
        <w:rPr>
          <w:b/>
          <w:i w:val="0"/>
          <w:sz w:val="32"/>
          <w:vertAlign w:val="baseline"/>
        </w:rPr>
        <w:t>апреля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3F71F4">
        <w:rPr>
          <w:b/>
          <w:i w:val="0"/>
          <w:sz w:val="32"/>
          <w:vertAlign w:val="baseline"/>
        </w:rPr>
        <w:t>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Pr="00721EE1" w:rsidRDefault="0044403B" w:rsidP="00EB76D7">
      <w:pPr>
        <w:jc w:val="center"/>
        <w:rPr>
          <w:bCs/>
          <w:iCs/>
          <w:szCs w:val="28"/>
          <w:vertAlign w:val="baseline"/>
          <w:lang w:val="en-US"/>
        </w:rPr>
      </w:pPr>
      <w:r>
        <w:rPr>
          <w:bCs/>
          <w:iCs/>
          <w:szCs w:val="28"/>
          <w:vertAlign w:val="baseline"/>
        </w:rPr>
        <w:t>Выпуск №</w:t>
      </w:r>
      <w:r w:rsidR="003F71F4">
        <w:rPr>
          <w:bCs/>
          <w:iCs/>
          <w:szCs w:val="28"/>
          <w:vertAlign w:val="baseline"/>
        </w:rPr>
        <w:t>4</w:t>
      </w:r>
      <w:r w:rsidR="00721EE1">
        <w:rPr>
          <w:bCs/>
          <w:iCs/>
          <w:szCs w:val="28"/>
          <w:vertAlign w:val="baseline"/>
          <w:lang w:val="en-US"/>
        </w:rPr>
        <w:t>6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D35A77">
        <w:rPr>
          <w:b/>
          <w:i w:val="0"/>
          <w:vertAlign w:val="baseline"/>
        </w:rPr>
        <w:t>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123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5"/>
        <w:gridCol w:w="8939"/>
        <w:gridCol w:w="709"/>
      </w:tblGrid>
      <w:tr w:rsidR="006709FC" w:rsidTr="006709FC">
        <w:tc>
          <w:tcPr>
            <w:tcW w:w="475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509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F1358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0</w:t>
            </w:r>
            <w:r w:rsidR="00F13587" w:rsidRPr="00F13587">
              <w:rPr>
                <w:i w:val="0"/>
                <w:szCs w:val="28"/>
                <w:vertAlign w:val="baseline"/>
              </w:rPr>
              <w:t>8</w:t>
            </w:r>
            <w:r>
              <w:rPr>
                <w:i w:val="0"/>
                <w:szCs w:val="28"/>
                <w:vertAlign w:val="baseline"/>
              </w:rPr>
              <w:t xml:space="preserve"> апреля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709FC">
        <w:trPr>
          <w:trHeight w:val="661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F1358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ТСЖ, ЖСК в разрезе муниципальных образований на 0</w:t>
            </w:r>
            <w:r w:rsidR="00F13587" w:rsidRPr="00F13587">
              <w:rPr>
                <w:i w:val="0"/>
                <w:szCs w:val="28"/>
                <w:vertAlign w:val="baseline"/>
              </w:rPr>
              <w:t>8</w:t>
            </w:r>
            <w:r>
              <w:rPr>
                <w:i w:val="0"/>
                <w:szCs w:val="28"/>
                <w:vertAlign w:val="baseline"/>
              </w:rPr>
              <w:t xml:space="preserve"> апреля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709FC">
        <w:trPr>
          <w:trHeight w:val="826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F13587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A460F5">
              <w:rPr>
                <w:i w:val="0"/>
                <w:szCs w:val="28"/>
                <w:vertAlign w:val="baseline"/>
              </w:rPr>
              <w:t>0</w:t>
            </w:r>
            <w:r w:rsidR="00F13587" w:rsidRPr="00F13587">
              <w:rPr>
                <w:i w:val="0"/>
                <w:szCs w:val="28"/>
                <w:vertAlign w:val="baseline"/>
              </w:rPr>
              <w:t>8</w:t>
            </w:r>
            <w:r w:rsidR="00A460F5">
              <w:rPr>
                <w:i w:val="0"/>
                <w:szCs w:val="28"/>
                <w:vertAlign w:val="baseline"/>
              </w:rPr>
              <w:t xml:space="preserve"> апреля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709FC">
        <w:trPr>
          <w:trHeight w:val="687"/>
        </w:trPr>
        <w:tc>
          <w:tcPr>
            <w:tcW w:w="475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F13587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A460F5">
              <w:rPr>
                <w:i w:val="0"/>
                <w:szCs w:val="28"/>
                <w:vertAlign w:val="baseline"/>
              </w:rPr>
              <w:t>0</w:t>
            </w:r>
            <w:r w:rsidR="00F13587" w:rsidRPr="00F13587">
              <w:rPr>
                <w:i w:val="0"/>
                <w:szCs w:val="28"/>
                <w:vertAlign w:val="baseline"/>
              </w:rPr>
              <w:t>8</w:t>
            </w:r>
            <w:r w:rsidR="00A460F5">
              <w:rPr>
                <w:i w:val="0"/>
                <w:szCs w:val="28"/>
                <w:vertAlign w:val="baseline"/>
              </w:rPr>
              <w:t xml:space="preserve"> апреля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 w:rsidR="004A6FEE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F1358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A460F5">
              <w:rPr>
                <w:i w:val="0"/>
                <w:szCs w:val="28"/>
                <w:vertAlign w:val="baseline"/>
              </w:rPr>
              <w:t>0</w:t>
            </w:r>
            <w:r w:rsidR="00F13587" w:rsidRPr="00F13587">
              <w:rPr>
                <w:i w:val="0"/>
                <w:szCs w:val="28"/>
                <w:vertAlign w:val="baseline"/>
              </w:rPr>
              <w:t>8</w:t>
            </w:r>
            <w:r w:rsidR="00A460F5">
              <w:rPr>
                <w:i w:val="0"/>
                <w:szCs w:val="28"/>
                <w:vertAlign w:val="baseline"/>
              </w:rPr>
              <w:t xml:space="preserve"> апреля</w:t>
            </w:r>
            <w:r w:rsidR="00CB79EF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2C3F39" w:rsidRDefault="002C3F39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EB76D7" w:rsidRPr="002E380E" w:rsidRDefault="002C3F39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Данные по внедрению системы «четыре расхода» по состоянию на 08 апреля 2014 года</w:t>
            </w:r>
          </w:p>
        </w:tc>
        <w:tc>
          <w:tcPr>
            <w:tcW w:w="709" w:type="dxa"/>
            <w:vAlign w:val="bottom"/>
          </w:tcPr>
          <w:p w:rsidR="00EB76D7" w:rsidRDefault="002C3F39" w:rsidP="002C3F39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90100C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6709FC" w:rsidRDefault="00EB76D7" w:rsidP="000F20CF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287"/>
        </w:trPr>
        <w:tc>
          <w:tcPr>
            <w:tcW w:w="475" w:type="dxa"/>
          </w:tcPr>
          <w:p w:rsidR="00D137AE" w:rsidRDefault="00D137AE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D137AE" w:rsidRPr="006709FC" w:rsidRDefault="00D137AE" w:rsidP="00EB76D7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D137AE" w:rsidRDefault="00D137AE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60711B" w:rsidRDefault="0060711B" w:rsidP="0071411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60711B" w:rsidRPr="006709FC" w:rsidRDefault="0060711B" w:rsidP="00E775B4">
            <w:pPr>
              <w:ind w:left="34" w:hanging="1"/>
              <w:jc w:val="both"/>
              <w:rPr>
                <w:i w:val="0"/>
                <w:szCs w:val="24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60711B" w:rsidRDefault="0060711B" w:rsidP="0097058F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0</w:t>
      </w:r>
      <w:r w:rsidR="004A5FAA">
        <w:rPr>
          <w:b/>
          <w:i w:val="0"/>
          <w:szCs w:val="28"/>
          <w:vertAlign w:val="baseline"/>
          <w:lang w:val="en-US"/>
        </w:rPr>
        <w:t>8</w:t>
      </w:r>
      <w:r w:rsidRPr="00502F9A">
        <w:rPr>
          <w:b/>
          <w:i w:val="0"/>
          <w:szCs w:val="28"/>
          <w:vertAlign w:val="baseline"/>
        </w:rPr>
        <w:t xml:space="preserve"> апреля 2014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320"/>
        <w:gridCol w:w="1360"/>
        <w:gridCol w:w="1251"/>
        <w:gridCol w:w="1740"/>
        <w:gridCol w:w="1740"/>
        <w:gridCol w:w="1360"/>
      </w:tblGrid>
      <w:tr w:rsidR="004A5FAA" w:rsidRPr="004A5FAA" w:rsidTr="00D3506C">
        <w:trPr>
          <w:trHeight w:val="1425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4A5FAA" w:rsidRPr="004A5FAA" w:rsidTr="00D3506C">
        <w:trPr>
          <w:trHeight w:val="285"/>
          <w:tblHeader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57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4A5FAA" w:rsidRPr="004A5FAA" w:rsidTr="004A5FA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 0</w:t>
      </w:r>
      <w:r w:rsidR="004A5FAA">
        <w:rPr>
          <w:b/>
          <w:i w:val="0"/>
          <w:szCs w:val="28"/>
          <w:vertAlign w:val="baseline"/>
          <w:lang w:val="en-US"/>
        </w:rPr>
        <w:t>8</w:t>
      </w:r>
      <w:r w:rsidRPr="00502F9A">
        <w:rPr>
          <w:b/>
          <w:i w:val="0"/>
          <w:szCs w:val="28"/>
          <w:vertAlign w:val="baseline"/>
        </w:rPr>
        <w:t xml:space="preserve"> апреля 2014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4A5FAA" w:rsidRPr="004A5FAA" w:rsidTr="00D3506C">
        <w:trPr>
          <w:trHeight w:val="17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4A5FAA" w:rsidRPr="004A5FAA" w:rsidTr="00D3506C">
        <w:trPr>
          <w:trHeight w:val="300"/>
          <w:tblHeader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>на 0</w:t>
      </w:r>
      <w:r w:rsidR="004A5FAA">
        <w:rPr>
          <w:b/>
          <w:i w:val="0"/>
          <w:szCs w:val="28"/>
          <w:vertAlign w:val="baseline"/>
          <w:lang w:val="en-US"/>
        </w:rPr>
        <w:t>8</w:t>
      </w:r>
      <w:r w:rsidRPr="00502F9A">
        <w:rPr>
          <w:b/>
          <w:i w:val="0"/>
          <w:szCs w:val="28"/>
          <w:vertAlign w:val="baseline"/>
        </w:rPr>
        <w:t xml:space="preserve"> апреля 2014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p w:rsidR="00981DD3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4A5FAA" w:rsidRPr="004A5FAA" w:rsidTr="00D3506C">
        <w:trPr>
          <w:trHeight w:val="171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4A5FAA" w:rsidRPr="004A5FAA" w:rsidTr="00D3506C">
        <w:trPr>
          <w:trHeight w:val="300"/>
          <w:tblHeader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79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4A5FAA" w:rsidRPr="004A5FAA" w:rsidTr="004A5F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0</w:t>
      </w:r>
      <w:r w:rsidR="004A5FAA" w:rsidRPr="004A5FAA">
        <w:rPr>
          <w:b/>
          <w:i w:val="0"/>
          <w:szCs w:val="28"/>
          <w:vertAlign w:val="baseline"/>
        </w:rPr>
        <w:t>8</w:t>
      </w:r>
      <w:r w:rsidRPr="00ED530E">
        <w:rPr>
          <w:b/>
          <w:i w:val="0"/>
          <w:szCs w:val="28"/>
          <w:vertAlign w:val="baseline"/>
        </w:rPr>
        <w:t xml:space="preserve"> апреля 2014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4A5FAA" w:rsidRPr="004A5FAA">
        <w:rPr>
          <w:b/>
          <w:bCs/>
          <w:i w:val="0"/>
          <w:color w:val="000000"/>
          <w:sz w:val="24"/>
          <w:szCs w:val="24"/>
          <w:vertAlign w:val="baseline"/>
        </w:rPr>
        <w:t>5</w:t>
      </w:r>
      <w:r w:rsidR="004A5FAA">
        <w:rPr>
          <w:b/>
          <w:bCs/>
          <w:i w:val="0"/>
          <w:color w:val="000000"/>
          <w:sz w:val="24"/>
          <w:szCs w:val="24"/>
          <w:vertAlign w:val="baseline"/>
          <w:lang w:val="en-US"/>
        </w:rPr>
        <w:t xml:space="preserve"> </w:t>
      </w:r>
      <w:r w:rsidR="004A5FAA" w:rsidRPr="004A5FAA">
        <w:rPr>
          <w:b/>
          <w:bCs/>
          <w:i w:val="0"/>
          <w:color w:val="000000"/>
          <w:sz w:val="24"/>
          <w:szCs w:val="24"/>
          <w:vertAlign w:val="baseline"/>
        </w:rPr>
        <w:t>125</w:t>
      </w:r>
      <w:r w:rsidR="004A5FAA">
        <w:rPr>
          <w:b/>
          <w:bCs/>
          <w:i w:val="0"/>
          <w:color w:val="000000"/>
          <w:sz w:val="24"/>
          <w:szCs w:val="24"/>
          <w:vertAlign w:val="baseline"/>
          <w:lang w:val="en-US"/>
        </w:rPr>
        <w:t xml:space="preserve"> </w:t>
      </w:r>
      <w:r w:rsidR="004A5FAA" w:rsidRPr="004A5FAA">
        <w:rPr>
          <w:b/>
          <w:bCs/>
          <w:i w:val="0"/>
          <w:color w:val="000000"/>
          <w:sz w:val="24"/>
          <w:szCs w:val="24"/>
          <w:vertAlign w:val="baseline"/>
        </w:rPr>
        <w:t>001</w:t>
      </w:r>
      <w:r w:rsidR="004A5FAA">
        <w:rPr>
          <w:b/>
          <w:bCs/>
          <w:i w:val="0"/>
          <w:color w:val="000000"/>
          <w:sz w:val="24"/>
          <w:szCs w:val="24"/>
          <w:vertAlign w:val="baseline"/>
          <w:lang w:val="en-US"/>
        </w:rPr>
        <w:t xml:space="preserve"> </w:t>
      </w:r>
      <w:r w:rsidR="004A5FAA" w:rsidRPr="004A5FAA">
        <w:rPr>
          <w:b/>
          <w:bCs/>
          <w:i w:val="0"/>
          <w:color w:val="000000"/>
          <w:sz w:val="24"/>
          <w:szCs w:val="24"/>
          <w:vertAlign w:val="baseline"/>
        </w:rPr>
        <w:t>267,15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i w:val="0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2720"/>
        <w:gridCol w:w="1720"/>
        <w:gridCol w:w="1720"/>
        <w:gridCol w:w="1720"/>
        <w:gridCol w:w="1720"/>
      </w:tblGrid>
      <w:tr w:rsidR="004A5FAA" w:rsidRPr="004A5FAA" w:rsidTr="00D3506C">
        <w:trPr>
          <w:trHeight w:val="28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4A5FAA" w:rsidRPr="004A5FAA" w:rsidTr="00D3506C">
        <w:trPr>
          <w:trHeight w:val="118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4A5FAA" w:rsidRPr="004A5FAA" w:rsidTr="00D3506C">
        <w:trPr>
          <w:trHeight w:val="300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4A5FAA" w:rsidRPr="004A5FAA" w:rsidTr="004A5FA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4A5FAA" w:rsidRPr="004A5FAA" w:rsidTr="004A5F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  <w:sectPr w:rsidR="00E337DE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0</w:t>
      </w:r>
      <w:r w:rsidR="004A5FAA" w:rsidRPr="004A5FAA">
        <w:rPr>
          <w:b/>
          <w:i w:val="0"/>
          <w:szCs w:val="28"/>
          <w:vertAlign w:val="baseline"/>
        </w:rPr>
        <w:t>8</w:t>
      </w:r>
      <w:r w:rsidRPr="00053455">
        <w:rPr>
          <w:b/>
          <w:i w:val="0"/>
          <w:szCs w:val="28"/>
          <w:vertAlign w:val="baseline"/>
        </w:rPr>
        <w:t xml:space="preserve"> апреля 2014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981DD3" w:rsidRDefault="00981DD3">
      <w:pPr>
        <w:rPr>
          <w:i w:val="0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4A5FAA" w:rsidRPr="004A5FAA" w:rsidTr="00D3506C">
        <w:trPr>
          <w:trHeight w:val="25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01.01.2014,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4A5FAA" w:rsidRPr="004A5FAA" w:rsidTr="00D3506C">
        <w:trPr>
          <w:trHeight w:val="25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4A5FAA" w:rsidRPr="004A5FAA" w:rsidTr="00D3506C">
        <w:trPr>
          <w:trHeight w:val="18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FAA" w:rsidRPr="004A5FAA" w:rsidRDefault="004A5FAA" w:rsidP="004A5FA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</w:tr>
      <w:tr w:rsidR="004A5FAA" w:rsidRPr="004A5FAA" w:rsidTr="00D3506C">
        <w:trPr>
          <w:trHeight w:val="28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5125,0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168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4A5FAA" w:rsidRPr="004A5FAA" w:rsidTr="004A5F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356,0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672,4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951,1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780,3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132,5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248,1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4A5FAA" w:rsidRPr="004A5FAA" w:rsidTr="004A5F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31,2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A" w:rsidRPr="004A5FAA" w:rsidRDefault="004A5FAA" w:rsidP="004A5FA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4A5FA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564D84" w:rsidRDefault="00564D84" w:rsidP="00A35BC9">
      <w:pPr>
        <w:rPr>
          <w:i w:val="0"/>
        </w:rPr>
      </w:pPr>
    </w:p>
    <w:p w:rsidR="00564D84" w:rsidRDefault="00564D84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3A13F0" w:rsidRPr="00D3506C" w:rsidRDefault="00564D84" w:rsidP="00564D84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>Данные по внедрению системы «четыре расхода» по состоянию на 08 апреля 2014 года</w:t>
      </w:r>
    </w:p>
    <w:p w:rsidR="00564D84" w:rsidRDefault="00D3506C" w:rsidP="00D3506C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p w:rsidR="00D3506C" w:rsidRPr="00D3506C" w:rsidRDefault="00D3506C" w:rsidP="00D3506C">
      <w:pPr>
        <w:jc w:val="right"/>
        <w:rPr>
          <w:sz w:val="24"/>
          <w:szCs w:val="24"/>
          <w:vertAlign w:val="baseline"/>
        </w:rPr>
      </w:pPr>
    </w:p>
    <w:tbl>
      <w:tblPr>
        <w:tblW w:w="5237" w:type="pct"/>
        <w:tblInd w:w="-147" w:type="dxa"/>
        <w:tblLook w:val="04A0" w:firstRow="1" w:lastRow="0" w:firstColumn="1" w:lastColumn="0" w:noHBand="0" w:noVBand="1"/>
      </w:tblPr>
      <w:tblGrid>
        <w:gridCol w:w="1768"/>
        <w:gridCol w:w="896"/>
        <w:gridCol w:w="897"/>
        <w:gridCol w:w="897"/>
        <w:gridCol w:w="909"/>
        <w:gridCol w:w="1159"/>
        <w:gridCol w:w="1235"/>
        <w:gridCol w:w="1513"/>
        <w:gridCol w:w="1556"/>
        <w:gridCol w:w="1705"/>
        <w:gridCol w:w="1495"/>
        <w:gridCol w:w="1220"/>
      </w:tblGrid>
      <w:tr w:rsidR="00D3506C" w:rsidRPr="00564D84" w:rsidTr="00D3506C">
        <w:trPr>
          <w:trHeight w:val="300"/>
          <w:tblHeader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D3506C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>
              <w:rPr>
                <w:b/>
                <w:bCs/>
                <w:i w:val="0"/>
                <w:color w:val="000000"/>
                <w:sz w:val="20"/>
                <w:vertAlign w:val="baseline"/>
              </w:rPr>
              <w:t>У</w:t>
            </w:r>
            <w:r w:rsidR="00564D84"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правляющие организации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(01.01.2014-02.04.2014)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(01.01.2014-02.04.2014)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2565"/>
          <w:tblHeader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D3506C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>
              <w:rPr>
                <w:b/>
                <w:bCs/>
                <w:i w:val="0"/>
                <w:color w:val="000000"/>
                <w:sz w:val="20"/>
                <w:vertAlign w:val="baseline"/>
              </w:rPr>
              <w:t>В</w:t>
            </w:r>
            <w:r w:rsidR="00564D84"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01.01.2014-28.02.2014)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01.01.2014-28.02.2014)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64D84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D3506C" w:rsidRPr="00564D84" w:rsidTr="00D3506C">
        <w:trPr>
          <w:trHeight w:val="315"/>
          <w:tblHeader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136,0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40,0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96,0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384,0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3 389,0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232 347 405,9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532 038 537,0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175 046 660,3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356 991 876,7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b/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b/>
                <w:i w:val="0"/>
                <w:color w:val="000000"/>
                <w:sz w:val="22"/>
                <w:szCs w:val="22"/>
                <w:vertAlign w:val="baseline"/>
              </w:rPr>
              <w:t>43,0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Нижнекамское МО, </w:t>
            </w: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пгт</w:t>
            </w:r>
            <w:proofErr w:type="spellEnd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Камские Поляны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279,0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40 219 835,0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34 536 443,2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26 124 735,5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8 411 707,7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</w:tr>
      <w:tr w:rsidR="00D3506C" w:rsidRPr="00564D84" w:rsidTr="00D3506C">
        <w:trPr>
          <w:trHeight w:val="37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64D84" w:rsidRPr="00564D84" w:rsidTr="00D3506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60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(ООО "УК Жилище и Комфорт")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64D84" w:rsidRPr="00564D84" w:rsidTr="00D3506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60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ООО УК "Сервис индустрия") </w:t>
            </w: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60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(ТСЖ "Старый аэропорт")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64D84" w:rsidRPr="00564D84" w:rsidTr="00D3506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г.Нижнекамск</w:t>
            </w:r>
            <w:proofErr w:type="spellEnd"/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308,0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3 028,0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187 971 996,7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474 709 258,8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144 923 236,8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329 786 022,0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36,0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631 442,0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6 961 206,8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762 189,0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6 199 017,7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</w:tr>
      <w:tr w:rsidR="00564D84" w:rsidRPr="00564D84" w:rsidTr="00D3506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61,0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64D84" w:rsidRPr="00564D84" w:rsidTr="00D3506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г.Елабуга</w:t>
            </w:r>
            <w:proofErr w:type="spellEnd"/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D3506C">
        <w:trPr>
          <w:trHeight w:val="3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64D84" w:rsidRPr="00564D84" w:rsidTr="0090700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3506C" w:rsidRPr="00564D84" w:rsidTr="0090700F">
        <w:trPr>
          <w:trHeight w:val="30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31,0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39,0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3 524 132,2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15 831 628,3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3 236 499,0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12 595 129,3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</w:tr>
      <w:tr w:rsidR="00D3506C" w:rsidRPr="00564D84" w:rsidTr="0090700F">
        <w:trPr>
          <w:trHeight w:val="30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4" w:rsidRPr="00564D84" w:rsidRDefault="00564D84" w:rsidP="00564D84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4" w:rsidRPr="00564D84" w:rsidRDefault="00564D84" w:rsidP="00564D84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64D84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564D84" w:rsidRPr="00A35BC9" w:rsidRDefault="00564D84" w:rsidP="00564D84">
      <w:pPr>
        <w:jc w:val="center"/>
        <w:rPr>
          <w:i w:val="0"/>
        </w:rPr>
      </w:pPr>
    </w:p>
    <w:sectPr w:rsidR="00564D84" w:rsidRPr="00A35BC9" w:rsidSect="00A35BC9">
      <w:pgSz w:w="16838" w:h="11906" w:orient="landscape"/>
      <w:pgMar w:top="1134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A1" w:rsidRDefault="000665A1" w:rsidP="00BF74DE">
      <w:r>
        <w:separator/>
      </w:r>
    </w:p>
  </w:endnote>
  <w:endnote w:type="continuationSeparator" w:id="0">
    <w:p w:rsidR="000665A1" w:rsidRDefault="000665A1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4A5FAA" w:rsidRPr="00301100" w:rsidRDefault="004A5FA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D81788">
          <w:rPr>
            <w:i w:val="0"/>
            <w:noProof/>
          </w:rPr>
          <w:t>15</w:t>
        </w:r>
        <w:r w:rsidRPr="00301100">
          <w:rPr>
            <w:i w:val="0"/>
          </w:rPr>
          <w:fldChar w:fldCharType="end"/>
        </w:r>
      </w:p>
    </w:sdtContent>
  </w:sdt>
  <w:p w:rsidR="004A5FAA" w:rsidRDefault="004A5F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AA" w:rsidRDefault="004A5FAA">
    <w:pPr>
      <w:pStyle w:val="a6"/>
      <w:jc w:val="center"/>
    </w:pPr>
  </w:p>
  <w:p w:rsidR="004A5FAA" w:rsidRDefault="004A5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A1" w:rsidRDefault="000665A1" w:rsidP="00BF74DE">
      <w:r>
        <w:separator/>
      </w:r>
    </w:p>
  </w:footnote>
  <w:footnote w:type="continuationSeparator" w:id="0">
    <w:p w:rsidR="000665A1" w:rsidRDefault="000665A1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665A1"/>
    <w:rsid w:val="00070071"/>
    <w:rsid w:val="0007186E"/>
    <w:rsid w:val="0007276E"/>
    <w:rsid w:val="00074213"/>
    <w:rsid w:val="000764CB"/>
    <w:rsid w:val="0008105F"/>
    <w:rsid w:val="0008395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33B1"/>
    <w:rsid w:val="001678AA"/>
    <w:rsid w:val="00171D96"/>
    <w:rsid w:val="001722AD"/>
    <w:rsid w:val="00172DDD"/>
    <w:rsid w:val="00173415"/>
    <w:rsid w:val="00174031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F1373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91082"/>
    <w:rsid w:val="00294869"/>
    <w:rsid w:val="002972E1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3F39"/>
    <w:rsid w:val="002C4C17"/>
    <w:rsid w:val="002C5C39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6591"/>
    <w:rsid w:val="0035108E"/>
    <w:rsid w:val="00353485"/>
    <w:rsid w:val="003534B5"/>
    <w:rsid w:val="00361475"/>
    <w:rsid w:val="00362C3C"/>
    <w:rsid w:val="00363BFC"/>
    <w:rsid w:val="003714A5"/>
    <w:rsid w:val="00372BC8"/>
    <w:rsid w:val="003735C0"/>
    <w:rsid w:val="00375DF8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2BF9"/>
    <w:rsid w:val="003B6882"/>
    <w:rsid w:val="003B71CC"/>
    <w:rsid w:val="003B747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3010"/>
    <w:rsid w:val="004030E8"/>
    <w:rsid w:val="00404E1E"/>
    <w:rsid w:val="00405AC4"/>
    <w:rsid w:val="00406389"/>
    <w:rsid w:val="00412173"/>
    <w:rsid w:val="004130C9"/>
    <w:rsid w:val="00414E11"/>
    <w:rsid w:val="00414F7E"/>
    <w:rsid w:val="00416C4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5FAA"/>
    <w:rsid w:val="004A6FEE"/>
    <w:rsid w:val="004A73FC"/>
    <w:rsid w:val="004B1FF6"/>
    <w:rsid w:val="004B399C"/>
    <w:rsid w:val="004B45C4"/>
    <w:rsid w:val="004B4885"/>
    <w:rsid w:val="004B48C0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4D84"/>
    <w:rsid w:val="00573934"/>
    <w:rsid w:val="005741F7"/>
    <w:rsid w:val="00574447"/>
    <w:rsid w:val="0057712B"/>
    <w:rsid w:val="00581611"/>
    <w:rsid w:val="00584338"/>
    <w:rsid w:val="00584797"/>
    <w:rsid w:val="005852A5"/>
    <w:rsid w:val="0059178D"/>
    <w:rsid w:val="00593DAE"/>
    <w:rsid w:val="00597EBC"/>
    <w:rsid w:val="005A1466"/>
    <w:rsid w:val="005A5248"/>
    <w:rsid w:val="005A7774"/>
    <w:rsid w:val="005B180C"/>
    <w:rsid w:val="005B2573"/>
    <w:rsid w:val="005B5212"/>
    <w:rsid w:val="005B7B8C"/>
    <w:rsid w:val="005C1322"/>
    <w:rsid w:val="005C390B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5095"/>
    <w:rsid w:val="006D1304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1EE1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11AF"/>
    <w:rsid w:val="0088491D"/>
    <w:rsid w:val="00893621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0700F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D37"/>
    <w:rsid w:val="009D5EB4"/>
    <w:rsid w:val="009D6E6B"/>
    <w:rsid w:val="009D7368"/>
    <w:rsid w:val="009E0EB9"/>
    <w:rsid w:val="009E3D82"/>
    <w:rsid w:val="009E4E51"/>
    <w:rsid w:val="009E5269"/>
    <w:rsid w:val="009E60F0"/>
    <w:rsid w:val="009F0B3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AB1"/>
    <w:rsid w:val="00B369EA"/>
    <w:rsid w:val="00B377B2"/>
    <w:rsid w:val="00B41C5A"/>
    <w:rsid w:val="00B42F40"/>
    <w:rsid w:val="00B45D0F"/>
    <w:rsid w:val="00B50EA5"/>
    <w:rsid w:val="00B52EAE"/>
    <w:rsid w:val="00B53FB0"/>
    <w:rsid w:val="00B55EAF"/>
    <w:rsid w:val="00B6068D"/>
    <w:rsid w:val="00B60EDE"/>
    <w:rsid w:val="00B6173E"/>
    <w:rsid w:val="00B6312C"/>
    <w:rsid w:val="00B6595D"/>
    <w:rsid w:val="00B65AC7"/>
    <w:rsid w:val="00B65BA6"/>
    <w:rsid w:val="00B70E57"/>
    <w:rsid w:val="00B71A8E"/>
    <w:rsid w:val="00B72BCB"/>
    <w:rsid w:val="00B7468D"/>
    <w:rsid w:val="00B766E0"/>
    <w:rsid w:val="00B771E4"/>
    <w:rsid w:val="00B77EAF"/>
    <w:rsid w:val="00B8077A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103CE"/>
    <w:rsid w:val="00C11401"/>
    <w:rsid w:val="00C1351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F32"/>
    <w:rsid w:val="00C35116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CC1"/>
    <w:rsid w:val="00D34E56"/>
    <w:rsid w:val="00D3506C"/>
    <w:rsid w:val="00D35354"/>
    <w:rsid w:val="00D35A77"/>
    <w:rsid w:val="00D362F5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58B"/>
    <w:rsid w:val="00D80F23"/>
    <w:rsid w:val="00D81788"/>
    <w:rsid w:val="00D8474D"/>
    <w:rsid w:val="00D84BAA"/>
    <w:rsid w:val="00D86054"/>
    <w:rsid w:val="00D87B21"/>
    <w:rsid w:val="00D90151"/>
    <w:rsid w:val="00D909A1"/>
    <w:rsid w:val="00D92228"/>
    <w:rsid w:val="00D927A0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52B4"/>
    <w:rsid w:val="00E76BE8"/>
    <w:rsid w:val="00E775B4"/>
    <w:rsid w:val="00E82CE9"/>
    <w:rsid w:val="00E8320F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3587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271F"/>
    <w:rsid w:val="00FC7D85"/>
    <w:rsid w:val="00FD3138"/>
    <w:rsid w:val="00FD5603"/>
    <w:rsid w:val="00FD5A1C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C9C319-0C24-4FB0-943A-6347BBD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7</cp:revision>
  <cp:lastPrinted>2012-06-08T13:42:00Z</cp:lastPrinted>
  <dcterms:created xsi:type="dcterms:W3CDTF">2014-04-11T05:59:00Z</dcterms:created>
  <dcterms:modified xsi:type="dcterms:W3CDTF">2014-04-11T06:37:00Z</dcterms:modified>
</cp:coreProperties>
</file>